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D0" w:rsidRDefault="00EA64D0" w:rsidP="00EA64D0">
      <w:pPr>
        <w:ind w:firstLine="720"/>
        <w:jc w:val="center"/>
        <w:rPr>
          <w:rFonts w:ascii="Arial" w:hAnsi="Arial" w:cs="Arial"/>
          <w:b/>
        </w:rPr>
      </w:pPr>
      <w:r w:rsidRPr="00EA64D0">
        <w:rPr>
          <w:rFonts w:ascii="Arial" w:hAnsi="Arial" w:cs="Arial"/>
          <w:b/>
        </w:rPr>
        <w:t>ΕΞΙΣΩΤΙΚΗ ΑΠΟΖΗΜΙΩΣΗ 2013</w:t>
      </w:r>
    </w:p>
    <w:p w:rsidR="00EA64D0" w:rsidRPr="00EA64D0" w:rsidRDefault="00EA64D0" w:rsidP="00EA64D0">
      <w:pPr>
        <w:ind w:firstLine="720"/>
        <w:jc w:val="center"/>
        <w:rPr>
          <w:rFonts w:ascii="Arial" w:hAnsi="Arial" w:cs="Arial"/>
          <w:b/>
        </w:rPr>
      </w:pPr>
    </w:p>
    <w:p w:rsidR="00EA64D0" w:rsidRDefault="00EA64D0" w:rsidP="00EA64D0">
      <w:pPr>
        <w:ind w:firstLine="720"/>
        <w:jc w:val="center"/>
        <w:rPr>
          <w:rFonts w:ascii="Arial" w:hAnsi="Arial" w:cs="Arial"/>
          <w:b/>
        </w:rPr>
      </w:pPr>
      <w:r w:rsidRPr="00EA64D0">
        <w:rPr>
          <w:rFonts w:ascii="Arial" w:hAnsi="Arial" w:cs="Arial"/>
          <w:b/>
        </w:rPr>
        <w:t>ΚΑΤΑΣΤΑΣΕΙΣ ΔΙΚΑΙΟΥΧΩΝ – ΑΠΟΡΡΙ</w:t>
      </w:r>
      <w:r w:rsidR="004F230B">
        <w:rPr>
          <w:rFonts w:ascii="Arial" w:hAnsi="Arial" w:cs="Arial"/>
          <w:b/>
        </w:rPr>
        <w:t>Φ</w:t>
      </w:r>
      <w:r w:rsidRPr="00EA64D0">
        <w:rPr>
          <w:rFonts w:ascii="Arial" w:hAnsi="Arial" w:cs="Arial"/>
          <w:b/>
        </w:rPr>
        <w:t>ΘΕΝΤΩΝ ΔΙΚΑΙΟΥΧΩΝ</w:t>
      </w:r>
    </w:p>
    <w:p w:rsidR="00EA64D0" w:rsidRPr="00EA64D0" w:rsidRDefault="00EA64D0" w:rsidP="00EA64D0">
      <w:pPr>
        <w:ind w:firstLine="720"/>
        <w:jc w:val="center"/>
        <w:rPr>
          <w:rFonts w:ascii="Arial" w:hAnsi="Arial" w:cs="Arial"/>
          <w:b/>
        </w:rPr>
      </w:pPr>
    </w:p>
    <w:p w:rsidR="00EA64D0" w:rsidRDefault="00EA64D0" w:rsidP="00EA64D0">
      <w:pPr>
        <w:ind w:firstLine="720"/>
        <w:jc w:val="center"/>
        <w:rPr>
          <w:rFonts w:ascii="Arial" w:hAnsi="Arial" w:cs="Arial"/>
        </w:rPr>
      </w:pPr>
    </w:p>
    <w:p w:rsidR="00EB0369" w:rsidRDefault="00EB0369" w:rsidP="00EB0369">
      <w:pPr>
        <w:ind w:firstLine="720"/>
        <w:jc w:val="both"/>
        <w:rPr>
          <w:rFonts w:ascii="Arial" w:hAnsi="Arial" w:cs="Arial"/>
        </w:rPr>
      </w:pPr>
      <w:r w:rsidRPr="00EB0369">
        <w:rPr>
          <w:rFonts w:ascii="Arial" w:hAnsi="Arial" w:cs="Arial"/>
        </w:rPr>
        <w:t xml:space="preserve">Σε εφαρμογή του άρθρου 7  της υπ’ αρ. 321699/5981/21-8-08 Απόφασης του Υπουργού Αγροτικής Ανάπτυξης και Τροφίμων ,ο Ο.Π.Ε.Κ.Ε.Π.Ε  εξέδωσε και σας διαβιβάζουμε ονομαστικές καταστάσεις παραγωγών των οποίων οι αιτήσεις απορρίφθηκαν με βάση τα κριτήρια επιλεξιμότητας  με τους λόγους απόρριψης καθώς και ονομαστική κατάσταση παραγωγών που πληρούν τα κριτήρια και εντάσσονται στο Μέτρο 211-212 (Εξισωτική Αποζημίωση) του ΠΑΑ 2007-2013  για το έτος 2013, και παρακαλούμε να μεριμνήσετε για την </w:t>
      </w:r>
      <w:r w:rsidRPr="00EB0369">
        <w:rPr>
          <w:rFonts w:ascii="Arial" w:hAnsi="Arial" w:cs="Arial"/>
          <w:u w:val="single"/>
        </w:rPr>
        <w:t>ανάρτηση τους στους συνήθεις τόπους ανακοινώσεων των Δήμων &amp; Κοινοτήτων</w:t>
      </w:r>
      <w:r w:rsidRPr="00EB0369">
        <w:rPr>
          <w:rFonts w:ascii="Arial" w:hAnsi="Arial" w:cs="Arial"/>
        </w:rPr>
        <w:t>.</w:t>
      </w:r>
    </w:p>
    <w:p w:rsidR="00EB0369" w:rsidRPr="00EB0369" w:rsidRDefault="00EB0369" w:rsidP="00EB0369">
      <w:pPr>
        <w:jc w:val="both"/>
      </w:pPr>
    </w:p>
    <w:p w:rsidR="00EB0369" w:rsidRDefault="00EB0369" w:rsidP="00EB0369">
      <w:pPr>
        <w:ind w:firstLine="720"/>
        <w:jc w:val="both"/>
        <w:rPr>
          <w:rFonts w:ascii="Arial" w:hAnsi="Arial" w:cs="Arial"/>
        </w:rPr>
      </w:pPr>
      <w:r w:rsidRPr="00EB0369">
        <w:rPr>
          <w:rFonts w:ascii="Arial" w:hAnsi="Arial" w:cs="Arial"/>
        </w:rPr>
        <w:t>Οι καταστάσεις, για την καλύτερη ενημέρωση των παραγωγών, δύναται να αναρτώνται και στους πίνακες ανακοινώσεων των ΕΑΣ.</w:t>
      </w:r>
    </w:p>
    <w:p w:rsidR="00EB0369" w:rsidRPr="00EB0369" w:rsidRDefault="00EB0369" w:rsidP="00EB0369">
      <w:pPr>
        <w:jc w:val="both"/>
      </w:pPr>
    </w:p>
    <w:p w:rsidR="00EB0369" w:rsidRDefault="00EB0369" w:rsidP="00EB0369">
      <w:pPr>
        <w:ind w:firstLine="720"/>
        <w:jc w:val="both"/>
        <w:rPr>
          <w:rFonts w:ascii="Arial" w:hAnsi="Arial" w:cs="Arial"/>
          <w:b/>
          <w:bCs/>
        </w:rPr>
      </w:pPr>
      <w:r w:rsidRPr="00EB0369">
        <w:rPr>
          <w:rFonts w:ascii="Arial" w:hAnsi="Arial" w:cs="Arial"/>
        </w:rPr>
        <w:t xml:space="preserve">Κατά την ανάρτηση των καταστάσεων (στους Δήμους και τις Κοινότητες) συντάσσεται αποδεικτικό ανάρτησης ενώπιον δύο (2) μαρτύρων. </w:t>
      </w:r>
      <w:r w:rsidRPr="00EB0369">
        <w:rPr>
          <w:rFonts w:ascii="Arial" w:hAnsi="Arial" w:cs="Arial"/>
          <w:b/>
          <w:bCs/>
        </w:rPr>
        <w:t>Αντίγραφο του αποδεικτικού αποστέλλεται αμέσως (το αργότερο εντός 2 εργάσιμων ημερών) στην οικεία Περιφερειακή Δ/νση ή Νομαρχιακό Γραφείο του Ο.Π.Ε.Κ.Ε.Π.Ε.</w:t>
      </w:r>
    </w:p>
    <w:p w:rsidR="00EB0369" w:rsidRPr="00EB0369" w:rsidRDefault="00EB0369" w:rsidP="00EB0369">
      <w:pPr>
        <w:jc w:val="both"/>
      </w:pPr>
    </w:p>
    <w:p w:rsidR="00EB0369" w:rsidRPr="00EB0369" w:rsidRDefault="00EB0369" w:rsidP="00EB0369">
      <w:pPr>
        <w:ind w:firstLine="720"/>
        <w:jc w:val="both"/>
      </w:pPr>
      <w:r w:rsidRPr="00EB0369">
        <w:rPr>
          <w:rFonts w:ascii="Arial" w:hAnsi="Arial" w:cs="Arial"/>
        </w:rPr>
        <w:t xml:space="preserve">Ενστάσεις θα μπορούν υποβάλλονται από τους ενδιαφερόμενους εντός </w:t>
      </w:r>
      <w:r w:rsidRPr="00EB0369">
        <w:rPr>
          <w:rFonts w:ascii="Arial" w:hAnsi="Arial" w:cs="Arial"/>
          <w:b/>
          <w:bCs/>
        </w:rPr>
        <w:t>δέκα (10) εργάσιμων ημερών από την ημέρα ανάρτησης των καταστάσεων στους Δήμους και τις Κοινότητες.</w:t>
      </w:r>
    </w:p>
    <w:p w:rsidR="00EB0369" w:rsidRPr="00EB0369" w:rsidRDefault="00EB0369" w:rsidP="00EB0369">
      <w:pPr>
        <w:jc w:val="both"/>
        <w:rPr>
          <w:b/>
          <w:u w:val="single"/>
        </w:rPr>
      </w:pPr>
      <w:r w:rsidRPr="00EB0369">
        <w:rPr>
          <w:rFonts w:ascii="Arial" w:hAnsi="Arial" w:cs="Arial"/>
          <w:b/>
          <w:u w:val="single"/>
        </w:rPr>
        <w:t>Οι ενστάσεις υποβάλλονται από τους ενδιαφερόμενους εγγράφως:</w:t>
      </w:r>
    </w:p>
    <w:p w:rsidR="00EB0369" w:rsidRPr="00EB0369" w:rsidRDefault="00EB0369" w:rsidP="00EB0369">
      <w:pPr>
        <w:jc w:val="both"/>
      </w:pPr>
      <w:r w:rsidRPr="00EB0369">
        <w:rPr>
          <w:rFonts w:ascii="Arial" w:hAnsi="Arial" w:cs="Arial"/>
          <w:b/>
          <w:u w:val="single"/>
        </w:rPr>
        <w:t>απ’ ευθείας στην οικεία Περιφερειακή Διεύθυνση ή Νομαρχιακό Γραφείο του Ο.Π.Ε.Κ.Ε.Π.Ε</w:t>
      </w:r>
      <w:r w:rsidRPr="00EB0369">
        <w:rPr>
          <w:rFonts w:ascii="Arial" w:hAnsi="Arial" w:cs="Arial"/>
        </w:rPr>
        <w:t>.</w:t>
      </w:r>
    </w:p>
    <w:p w:rsidR="00EB0369" w:rsidRDefault="00EB0369" w:rsidP="00EB0369">
      <w:pPr>
        <w:jc w:val="both"/>
        <w:rPr>
          <w:rFonts w:ascii="Arial" w:hAnsi="Arial" w:cs="Arial"/>
        </w:rPr>
      </w:pPr>
      <w:r w:rsidRPr="00EB0369">
        <w:rPr>
          <w:rFonts w:ascii="Arial" w:hAnsi="Arial" w:cs="Arial"/>
        </w:rPr>
        <w:t>Για την υποβολή των ενστάσεων θα πρέπει να χρησιμοποιείται το συνημμένο Υπόδειγμα Ένστασης (Υπόδειγμα 2 της υπ’ αριθμ. 321699/5981/21-08-2008 ΥΑ).</w:t>
      </w:r>
    </w:p>
    <w:p w:rsidR="00EB0369" w:rsidRPr="00EB0369" w:rsidRDefault="00EB0369" w:rsidP="00EB0369">
      <w:pPr>
        <w:jc w:val="both"/>
      </w:pPr>
    </w:p>
    <w:p w:rsidR="00EB0369" w:rsidRPr="00EB0369" w:rsidRDefault="00EB0369" w:rsidP="00EB0369">
      <w:pPr>
        <w:ind w:firstLine="720"/>
        <w:jc w:val="both"/>
      </w:pPr>
      <w:r w:rsidRPr="00EB0369">
        <w:rPr>
          <w:rFonts w:ascii="Arial" w:hAnsi="Arial" w:cs="Arial"/>
        </w:rPr>
        <w:t>Για τις περιπτώσεις παραγωγών που εμπίπτουν στο σημείο (ii) της περίπτωσης 16 της παραγράφου 3 του άρθρου 12 της υπ’ αριθμ. 321699/5981/21-08-2008 Απόφασης του Υπουργού Αγροτικής Ανάπτυξης &amp; Τροφίμων (παραγωγοί που δεν έχουν ολοκληρώσει την υποχρεωτική πενταετία, που παντρεύτηκαν μεταξύ τους πριν την υποβολή των Αιτήσεων Ένταξης/Πληρωμής Εξισωτικής Αποζημίωσης έτους 2013 και υπέβαλαν και οι δύο Αίτηση Ένταξης/Πληρωμής Εξισωτικής Αποζημίωσης έτους 2013) θα πρέπει να χρησιμοποιείται το συνημμένο Υπόδειγμα Αίτησης-Υπεύθυνης Δήλωσης (Υπόδειγμα 4 της υπ’ αριθμ. 321699/5981/21-08-2008 ΥΑ).</w:t>
      </w:r>
    </w:p>
    <w:p w:rsidR="00EB0369" w:rsidRDefault="00EB0369" w:rsidP="00EB0369">
      <w:pPr>
        <w:jc w:val="both"/>
        <w:rPr>
          <w:rFonts w:ascii="Arial" w:hAnsi="Arial" w:cs="Arial"/>
        </w:rPr>
      </w:pPr>
      <w:r w:rsidRPr="00EB0369">
        <w:rPr>
          <w:rFonts w:ascii="Arial" w:hAnsi="Arial" w:cs="Arial"/>
        </w:rPr>
        <w:t>Στην ένστασή του ο παραγωγός οφείλει να αναφέρει αναλυτικά τους λόγους υποβολής της σχετικής ένστασης (αναφέροντας π.χ. τυχόν λάθη που εντόπισε στα αποτελέσματα του διοικητικού ελέγχου) καθώς και να προσκομίζει οποιοδήποτε επιπλέον στοιχείο προκειμένου να αποδείξει το αληθές των λόγων του.</w:t>
      </w:r>
    </w:p>
    <w:p w:rsidR="004F230B" w:rsidRDefault="004F230B" w:rsidP="00EB0369">
      <w:pPr>
        <w:ind w:firstLine="720"/>
        <w:jc w:val="both"/>
        <w:rPr>
          <w:rFonts w:ascii="Arial" w:hAnsi="Arial" w:cs="Arial"/>
        </w:rPr>
      </w:pPr>
    </w:p>
    <w:p w:rsidR="00EB0369" w:rsidRPr="00EB0369" w:rsidRDefault="00EB0369" w:rsidP="00EB0369">
      <w:pPr>
        <w:ind w:firstLine="720"/>
        <w:jc w:val="both"/>
      </w:pPr>
      <w:r w:rsidRPr="00EB0369">
        <w:rPr>
          <w:rFonts w:ascii="Arial" w:hAnsi="Arial" w:cs="Arial"/>
        </w:rPr>
        <w:t>Σας ενημερώνουμε ότι υπάρχει δυνατότητα ηλεκτρονικής ενημέρωσης των παραγωγών ως προς την πορεία των αιτήσεων τους, σε επίπεδο Α</w:t>
      </w:r>
      <w:r w:rsidR="00EA64D0">
        <w:rPr>
          <w:rFonts w:ascii="Arial" w:hAnsi="Arial" w:cs="Arial"/>
        </w:rPr>
        <w:t>.</w:t>
      </w:r>
      <w:r w:rsidRPr="00EB0369">
        <w:rPr>
          <w:rFonts w:ascii="Arial" w:hAnsi="Arial" w:cs="Arial"/>
        </w:rPr>
        <w:t>Φ</w:t>
      </w:r>
      <w:r w:rsidR="00EA64D0">
        <w:rPr>
          <w:rFonts w:ascii="Arial" w:hAnsi="Arial" w:cs="Arial"/>
        </w:rPr>
        <w:t>.</w:t>
      </w:r>
      <w:r w:rsidRPr="00EB0369">
        <w:rPr>
          <w:rFonts w:ascii="Arial" w:hAnsi="Arial" w:cs="Arial"/>
        </w:rPr>
        <w:t>Μ</w:t>
      </w:r>
      <w:r w:rsidR="00EA64D0">
        <w:rPr>
          <w:rFonts w:ascii="Arial" w:hAnsi="Arial" w:cs="Arial"/>
        </w:rPr>
        <w:t>.</w:t>
      </w:r>
      <w:r w:rsidRPr="00EB0369">
        <w:rPr>
          <w:rFonts w:ascii="Arial" w:hAnsi="Arial" w:cs="Arial"/>
        </w:rPr>
        <w:t>, από την ιστοσελίδα του Ο.Π.Ε.Κ.Ε.Π.Ε.</w:t>
      </w:r>
    </w:p>
    <w:p w:rsidR="00EB0369" w:rsidRDefault="00EB0369" w:rsidP="00EB0369">
      <w:pPr>
        <w:jc w:val="both"/>
      </w:pPr>
      <w:r w:rsidRPr="00EB0369">
        <w:t> </w:t>
      </w:r>
    </w:p>
    <w:p w:rsidR="004F230B" w:rsidRDefault="004F230B" w:rsidP="00EB0369">
      <w:pPr>
        <w:jc w:val="both"/>
      </w:pPr>
    </w:p>
    <w:p w:rsidR="004F230B" w:rsidRDefault="004F230B" w:rsidP="004F230B">
      <w:pPr>
        <w:jc w:val="both"/>
      </w:pPr>
      <w:r>
        <w:t>ΥΠΕΥΘΥΝΗ ΟΠΕΚΕΠΕ: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353"/>
      </w:tblGrid>
      <w:tr w:rsidR="004F230B" w:rsidTr="004F230B">
        <w:tc>
          <w:tcPr>
            <w:tcW w:w="5353" w:type="dxa"/>
          </w:tcPr>
          <w:p w:rsidR="004F230B" w:rsidRDefault="004F230B" w:rsidP="004F230B">
            <w:pPr>
              <w:jc w:val="both"/>
              <w:rPr>
                <w:b/>
                <w:bCs/>
                <w:i/>
                <w:iCs/>
                <w:color w:val="1F497D"/>
              </w:rPr>
            </w:pPr>
          </w:p>
          <w:p w:rsidR="004F230B" w:rsidRPr="004F230B" w:rsidRDefault="004F230B" w:rsidP="004F230B">
            <w:pPr>
              <w:jc w:val="both"/>
            </w:pPr>
            <w:r>
              <w:rPr>
                <w:b/>
                <w:bCs/>
                <w:i/>
                <w:iCs/>
                <w:color w:val="1F497D"/>
              </w:rPr>
              <w:t xml:space="preserve">Σοφία </w:t>
            </w:r>
            <w:proofErr w:type="spellStart"/>
            <w:r>
              <w:rPr>
                <w:b/>
                <w:bCs/>
                <w:i/>
                <w:iCs/>
                <w:color w:val="1F497D"/>
              </w:rPr>
              <w:t>Πασχαλάκη</w:t>
            </w:r>
            <w:proofErr w:type="spellEnd"/>
            <w:r>
              <w:rPr>
                <w:b/>
                <w:bCs/>
                <w:i/>
                <w:iCs/>
                <w:color w:val="1F497D"/>
              </w:rPr>
              <w:t xml:space="preserve">               </w:t>
            </w:r>
          </w:p>
        </w:tc>
        <w:tc>
          <w:tcPr>
            <w:tcW w:w="5353" w:type="dxa"/>
            <w:vMerge w:val="restart"/>
          </w:tcPr>
          <w:p w:rsidR="004F230B" w:rsidRDefault="004F230B" w:rsidP="004F230B">
            <w:pPr>
              <w:jc w:val="right"/>
            </w:pPr>
            <w:r>
              <w:rPr>
                <w:noProof/>
              </w:rPr>
              <w:drawing>
                <wp:inline distT="0" distB="0" distL="0" distR="0">
                  <wp:extent cx="2624273" cy="1962150"/>
                  <wp:effectExtent l="19050" t="0" r="4627" b="0"/>
                  <wp:docPr id="3" name="2 - Εικόνα" descr="ΥΠΟΓΡΑΦΗ ΔΙΕΥΘΥΝΤ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Η ΔΙΕΥΘΥΝΤΗ.bmp"/>
                          <pic:cNvPicPr/>
                        </pic:nvPicPr>
                        <pic:blipFill>
                          <a:blip r:embed="rId4" cstate="print"/>
                          <a:stretch>
                            <a:fillRect/>
                          </a:stretch>
                        </pic:blipFill>
                        <pic:spPr>
                          <a:xfrm>
                            <a:off x="0" y="0"/>
                            <a:ext cx="2635755" cy="1970735"/>
                          </a:xfrm>
                          <a:prstGeom prst="rect">
                            <a:avLst/>
                          </a:prstGeom>
                          <a:ln>
                            <a:noFill/>
                          </a:ln>
                          <a:effectLst>
                            <a:softEdge rad="112500"/>
                          </a:effectLst>
                        </pic:spPr>
                      </pic:pic>
                    </a:graphicData>
                  </a:graphic>
                </wp:inline>
              </w:drawing>
            </w:r>
          </w:p>
        </w:tc>
      </w:tr>
      <w:tr w:rsidR="004F230B" w:rsidTr="004F230B">
        <w:tc>
          <w:tcPr>
            <w:tcW w:w="5353" w:type="dxa"/>
          </w:tcPr>
          <w:p w:rsidR="004F230B" w:rsidRDefault="004F230B" w:rsidP="004F230B">
            <w:pPr>
              <w:rPr>
                <w:b/>
                <w:bCs/>
                <w:i/>
                <w:iCs/>
                <w:color w:val="1F497D"/>
              </w:rPr>
            </w:pPr>
          </w:p>
          <w:p w:rsidR="004F230B" w:rsidRDefault="004F230B" w:rsidP="004F230B">
            <w:r>
              <w:rPr>
                <w:b/>
                <w:bCs/>
                <w:i/>
                <w:iCs/>
                <w:color w:val="1F497D"/>
              </w:rPr>
              <w:t>Τμήμα  Αγροτικής Ανάπτυξης &amp; Ενισχύσεων</w:t>
            </w:r>
          </w:p>
        </w:tc>
        <w:tc>
          <w:tcPr>
            <w:tcW w:w="5353" w:type="dxa"/>
            <w:vMerge/>
          </w:tcPr>
          <w:p w:rsidR="004F230B" w:rsidRDefault="004F230B" w:rsidP="004F230B">
            <w:pPr>
              <w:jc w:val="both"/>
            </w:pPr>
          </w:p>
        </w:tc>
      </w:tr>
      <w:tr w:rsidR="004F230B" w:rsidTr="004F230B">
        <w:tc>
          <w:tcPr>
            <w:tcW w:w="5353" w:type="dxa"/>
          </w:tcPr>
          <w:p w:rsidR="004F230B" w:rsidRDefault="004F230B" w:rsidP="004F230B">
            <w:pPr>
              <w:rPr>
                <w:b/>
                <w:bCs/>
                <w:i/>
                <w:iCs/>
                <w:color w:val="1F497D"/>
              </w:rPr>
            </w:pPr>
          </w:p>
          <w:p w:rsidR="004F230B" w:rsidRDefault="004F230B" w:rsidP="004F230B">
            <w:r>
              <w:rPr>
                <w:b/>
                <w:bCs/>
                <w:i/>
                <w:iCs/>
                <w:color w:val="1F497D"/>
              </w:rPr>
              <w:t>ΠΔ Μακεδονίας &amp; Θράκης</w:t>
            </w:r>
          </w:p>
        </w:tc>
        <w:tc>
          <w:tcPr>
            <w:tcW w:w="5353" w:type="dxa"/>
            <w:vMerge/>
          </w:tcPr>
          <w:p w:rsidR="004F230B" w:rsidRDefault="004F230B" w:rsidP="004F230B">
            <w:pPr>
              <w:jc w:val="both"/>
            </w:pPr>
          </w:p>
        </w:tc>
      </w:tr>
      <w:tr w:rsidR="004F230B" w:rsidTr="004F230B">
        <w:tc>
          <w:tcPr>
            <w:tcW w:w="5353" w:type="dxa"/>
          </w:tcPr>
          <w:p w:rsidR="004F230B" w:rsidRDefault="004F230B" w:rsidP="004F230B">
            <w:pPr>
              <w:rPr>
                <w:b/>
                <w:bCs/>
                <w:i/>
                <w:iCs/>
                <w:color w:val="E36C0A"/>
              </w:rPr>
            </w:pPr>
          </w:p>
          <w:p w:rsidR="004F230B" w:rsidRDefault="004F230B" w:rsidP="004F230B">
            <w:r>
              <w:rPr>
                <w:b/>
                <w:bCs/>
                <w:i/>
                <w:iCs/>
                <w:color w:val="E36C0A"/>
              </w:rPr>
              <w:t>Ο.Π.Ε.Κ.Ε.Π.Ε</w:t>
            </w:r>
          </w:p>
        </w:tc>
        <w:tc>
          <w:tcPr>
            <w:tcW w:w="5353" w:type="dxa"/>
            <w:vMerge/>
          </w:tcPr>
          <w:p w:rsidR="004F230B" w:rsidRDefault="004F230B" w:rsidP="004F230B">
            <w:pPr>
              <w:jc w:val="both"/>
            </w:pPr>
          </w:p>
        </w:tc>
      </w:tr>
      <w:tr w:rsidR="004F230B" w:rsidTr="004F230B">
        <w:tc>
          <w:tcPr>
            <w:tcW w:w="5353" w:type="dxa"/>
          </w:tcPr>
          <w:p w:rsidR="004F230B" w:rsidRDefault="004F230B" w:rsidP="004F230B">
            <w:pPr>
              <w:rPr>
                <w:rFonts w:ascii="Wingdings" w:hAnsi="Wingdings"/>
                <w:color w:val="003366"/>
                <w:sz w:val="15"/>
                <w:szCs w:val="15"/>
              </w:rPr>
            </w:pPr>
          </w:p>
          <w:p w:rsidR="004F230B" w:rsidRDefault="004F230B" w:rsidP="004F230B">
            <w:r>
              <w:rPr>
                <w:rFonts w:ascii="Wingdings" w:hAnsi="Wingdings"/>
                <w:color w:val="003366"/>
                <w:sz w:val="15"/>
                <w:szCs w:val="15"/>
              </w:rPr>
              <w:t></w:t>
            </w:r>
            <w:r>
              <w:rPr>
                <w:color w:val="808080"/>
                <w:lang w:val="en-GB"/>
              </w:rPr>
              <w:t xml:space="preserve">  </w:t>
            </w:r>
            <w:proofErr w:type="spellStart"/>
            <w:r>
              <w:rPr>
                <w:color w:val="17365D"/>
                <w:lang w:val="en-US"/>
              </w:rPr>
              <w:t>tel</w:t>
            </w:r>
            <w:proofErr w:type="spellEnd"/>
            <w:r>
              <w:rPr>
                <w:color w:val="17365D"/>
                <w:lang w:val="en-US"/>
              </w:rPr>
              <w:t xml:space="preserve"> : </w:t>
            </w:r>
            <w:r>
              <w:rPr>
                <w:i/>
                <w:iCs/>
                <w:color w:val="1F497D"/>
                <w:lang w:val="en-US"/>
              </w:rPr>
              <w:t xml:space="preserve">+30 2310566616 </w:t>
            </w:r>
            <w:proofErr w:type="spellStart"/>
            <w:r>
              <w:rPr>
                <w:i/>
                <w:iCs/>
                <w:color w:val="1F497D"/>
              </w:rPr>
              <w:t>εσωτ</w:t>
            </w:r>
            <w:proofErr w:type="spellEnd"/>
            <w:r>
              <w:rPr>
                <w:i/>
                <w:iCs/>
                <w:color w:val="1F497D"/>
                <w:lang w:val="en-US"/>
              </w:rPr>
              <w:t>. 3033</w:t>
            </w:r>
          </w:p>
          <w:p w:rsidR="004F230B" w:rsidRDefault="004F230B" w:rsidP="004F230B">
            <w:r>
              <w:rPr>
                <w:rFonts w:ascii="Wingdings 2" w:hAnsi="Wingdings 2"/>
                <w:color w:val="000080"/>
                <w:sz w:val="20"/>
                <w:szCs w:val="20"/>
                <w:lang w:val="en-GB"/>
              </w:rPr>
              <w:t></w:t>
            </w:r>
            <w:r>
              <w:rPr>
                <w:i/>
                <w:iCs/>
                <w:color w:val="1F497D"/>
                <w:lang w:val="en-US"/>
              </w:rPr>
              <w:t>fax:  +30 2310555427</w:t>
            </w:r>
          </w:p>
          <w:p w:rsidR="004F230B" w:rsidRDefault="004F230B" w:rsidP="004F230B">
            <w:pPr>
              <w:jc w:val="both"/>
            </w:pPr>
          </w:p>
        </w:tc>
        <w:tc>
          <w:tcPr>
            <w:tcW w:w="5353" w:type="dxa"/>
            <w:vMerge/>
          </w:tcPr>
          <w:p w:rsidR="004F230B" w:rsidRDefault="004F230B" w:rsidP="004F230B">
            <w:pPr>
              <w:jc w:val="both"/>
            </w:pPr>
          </w:p>
        </w:tc>
      </w:tr>
    </w:tbl>
    <w:p w:rsidR="00FF7D03" w:rsidRDefault="00FF7D03" w:rsidP="004F230B"/>
    <w:sectPr w:rsidR="00FF7D03" w:rsidSect="004F230B">
      <w:pgSz w:w="11906" w:h="16838"/>
      <w:pgMar w:top="426" w:right="849"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0369"/>
    <w:rsid w:val="004F230B"/>
    <w:rsid w:val="00EA64D0"/>
    <w:rsid w:val="00EB0369"/>
    <w:rsid w:val="00FF7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69"/>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230B"/>
    <w:rPr>
      <w:rFonts w:ascii="Tahoma" w:hAnsi="Tahoma" w:cs="Tahoma"/>
      <w:sz w:val="16"/>
      <w:szCs w:val="16"/>
    </w:rPr>
  </w:style>
  <w:style w:type="character" w:customStyle="1" w:styleId="Char">
    <w:name w:val="Κείμενο πλαισίου Char"/>
    <w:basedOn w:val="a0"/>
    <w:link w:val="a3"/>
    <w:uiPriority w:val="99"/>
    <w:semiHidden/>
    <w:rsid w:val="004F230B"/>
    <w:rPr>
      <w:rFonts w:ascii="Tahoma" w:hAnsi="Tahoma" w:cs="Tahoma"/>
      <w:sz w:val="16"/>
      <w:szCs w:val="16"/>
      <w:lang w:eastAsia="el-GR"/>
    </w:rPr>
  </w:style>
  <w:style w:type="table" w:styleId="a4">
    <w:name w:val="Table Grid"/>
    <w:basedOn w:val="a1"/>
    <w:uiPriority w:val="59"/>
    <w:rsid w:val="004F2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25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432</Words>
  <Characters>2338</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2014-08-14T05:27:00Z</cp:lastPrinted>
  <dcterms:created xsi:type="dcterms:W3CDTF">2014-08-14T04:58:00Z</dcterms:created>
  <dcterms:modified xsi:type="dcterms:W3CDTF">2014-08-14T05:27:00Z</dcterms:modified>
</cp:coreProperties>
</file>